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0" w:right="-57" w:firstLine="0"/>
        <w:jc w:val="center"/>
        <w:rPr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</w:t>
      </w:r>
      <w:bookmarkStart w:colFirst="0" w:colLast="0" w:name="23xq0lhmlmj" w:id="0"/>
      <w:bookmarkEnd w:id="0"/>
      <w:r w:rsidDel="00000000" w:rsidR="00000000" w:rsidRPr="00000000">
        <w:rPr/>
        <w:drawing>
          <wp:inline distB="0" distT="0" distL="0" distR="0">
            <wp:extent cx="990600" cy="939165"/>
            <wp:effectExtent b="0" l="0" r="0" t="0"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93916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left="0" w:right="-57" w:firstLine="0"/>
        <w:jc w:val="center"/>
        <w:rPr>
          <w:rFonts w:ascii="Calibri" w:cs="Calibri" w:eastAsia="Calibri" w:hAnsi="Calibri"/>
          <w:color w:val="17365d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color w:val="17365d"/>
          <w:sz w:val="22"/>
          <w:szCs w:val="22"/>
          <w:vertAlign w:val="baseline"/>
          <w:rtl w:val="0"/>
        </w:rPr>
        <w:t xml:space="preserve">PODER JUDICIÁRIO</w:t>
      </w:r>
    </w:p>
    <w:p w:rsidR="00000000" w:rsidDel="00000000" w:rsidP="00000000" w:rsidRDefault="00000000" w:rsidRPr="00000000" w14:paraId="00000003">
      <w:pPr>
        <w:ind w:left="0" w:right="-57" w:firstLine="0"/>
        <w:jc w:val="center"/>
        <w:rPr>
          <w:rFonts w:ascii="Calibri" w:cs="Calibri" w:eastAsia="Calibri" w:hAnsi="Calibri"/>
          <w:color w:val="17365d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color w:val="17365d"/>
          <w:sz w:val="22"/>
          <w:szCs w:val="22"/>
          <w:vertAlign w:val="baseline"/>
          <w:rtl w:val="0"/>
        </w:rPr>
        <w:t xml:space="preserve">JUSTIÇA DO TRABALHO</w:t>
      </w:r>
    </w:p>
    <w:p w:rsidR="00000000" w:rsidDel="00000000" w:rsidP="00000000" w:rsidRDefault="00000000" w:rsidRPr="00000000" w14:paraId="00000004">
      <w:pPr>
        <w:ind w:left="0" w:right="-57" w:firstLine="0"/>
        <w:jc w:val="center"/>
        <w:rPr>
          <w:rFonts w:ascii="Calibri" w:cs="Calibri" w:eastAsia="Calibri" w:hAnsi="Calibri"/>
          <w:color w:val="17365d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color w:val="17365d"/>
          <w:sz w:val="22"/>
          <w:szCs w:val="22"/>
          <w:vertAlign w:val="baseline"/>
          <w:rtl w:val="0"/>
        </w:rPr>
        <w:t xml:space="preserve">TRIBUNAL REGIONAL DO TRABALHO DA 7ª REGIÃO</w:t>
      </w:r>
    </w:p>
    <w:p w:rsidR="00000000" w:rsidDel="00000000" w:rsidP="00000000" w:rsidRDefault="00000000" w:rsidRPr="00000000" w14:paraId="00000005">
      <w:pPr>
        <w:ind w:left="0" w:right="-57" w:firstLine="0"/>
        <w:jc w:val="both"/>
        <w:rPr>
          <w:rFonts w:ascii="Calibri" w:cs="Calibri" w:eastAsia="Calibri" w:hAnsi="Calibri"/>
          <w:sz w:val="22"/>
          <w:szCs w:val="2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shd w:fill="ffffff" w:val="clear"/>
        <w:spacing w:after="0" w:before="0" w:line="360" w:lineRule="auto"/>
        <w:ind w:left="0" w:right="-57" w:firstLine="0"/>
        <w:jc w:val="center"/>
        <w:rPr>
          <w:rFonts w:ascii="Calibri" w:cs="Calibri" w:eastAsia="Calibri" w:hAnsi="Calibri"/>
          <w:b w:val="1"/>
          <w:sz w:val="22"/>
          <w:szCs w:val="2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shd w:fill="ffffff" w:val="clear"/>
        <w:spacing w:after="0" w:before="0" w:line="360" w:lineRule="auto"/>
        <w:ind w:left="0" w:right="-57" w:firstLine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singl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single"/>
          <w:vertAlign w:val="baseline"/>
          <w:rtl w:val="0"/>
        </w:rPr>
        <w:t xml:space="preserve">ESTUDOS TÉCNICOS PRELIMINARES - ETP</w:t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shd w:fill="ffffff" w:val="clear"/>
        <w:spacing w:after="0" w:before="0" w:line="360" w:lineRule="auto"/>
        <w:ind w:left="0" w:right="-57" w:firstLine="0"/>
        <w:jc w:val="center"/>
        <w:rPr>
          <w:rFonts w:ascii="Calibri" w:cs="Calibri" w:eastAsia="Calibri" w:hAnsi="Calibri"/>
          <w:b w:val="1"/>
          <w:sz w:val="22"/>
          <w:szCs w:val="2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Calibri" w:cs="Calibri" w:eastAsia="Calibri" w:hAnsi="Calibri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283.46456692913375" w:right="-550.8661417322827" w:hanging="36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vertAlign w:val="baseline"/>
          <w:rtl w:val="0"/>
        </w:rPr>
        <w:t xml:space="preserve">PROAD nº</w:t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 5155/2025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left="283.46456692913375" w:right="-550.8661417322827" w:hanging="360"/>
        <w:jc w:val="both"/>
        <w:rPr>
          <w:rFonts w:ascii="Calibri" w:cs="Calibri" w:eastAsia="Calibri" w:hAnsi="Calibri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283.46456692913375" w:right="-550.8661417322827" w:hanging="36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vertAlign w:val="baseline"/>
          <w:rtl w:val="0"/>
        </w:rPr>
        <w:t xml:space="preserve">DESCRIÇÃO DA NECESSIDADE:</w:t>
      </w: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 Aquisição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de pilhas, mediante Sistema de Registro de Preços, para atender a demanda das diversas unidades que utilizam equipamentos eletro-eletrônicos e que necessitam desta fonte de alimentação, sendo essenciais às suas atividades institucionais nesta Justiça do Trabalho. </w:t>
      </w:r>
    </w:p>
    <w:p w:rsidR="00000000" w:rsidDel="00000000" w:rsidP="00000000" w:rsidRDefault="00000000" w:rsidRPr="00000000" w14:paraId="0000000D">
      <w:pPr>
        <w:spacing w:line="276" w:lineRule="auto"/>
        <w:ind w:left="283.46456692913375" w:right="-550.8661417322827" w:firstLine="0"/>
        <w:jc w:val="both"/>
        <w:rPr>
          <w:rFonts w:ascii="Calibri" w:cs="Calibri" w:eastAsia="Calibri" w:hAnsi="Calibri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Os quantitativos foram estimados considerando uma política de estoque para manter uma quantidade mínima disponível</w:t>
      </w: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 para a demanda  do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item</w:t>
      </w: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 . </w:t>
      </w:r>
    </w:p>
    <w:p w:rsidR="00000000" w:rsidDel="00000000" w:rsidP="00000000" w:rsidRDefault="00000000" w:rsidRPr="00000000" w14:paraId="0000000E">
      <w:pPr>
        <w:spacing w:line="276" w:lineRule="auto"/>
        <w:ind w:left="283.46456692913375" w:right="-550.8661417322827" w:firstLine="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Informamos, por oportuno, que não há disponibilidade do material em tela em nosso almoxarifado.</w:t>
      </w:r>
    </w:p>
    <w:p w:rsidR="00000000" w:rsidDel="00000000" w:rsidP="00000000" w:rsidRDefault="00000000" w:rsidRPr="00000000" w14:paraId="0000000F">
      <w:pPr>
        <w:ind w:left="283.46456692913375" w:right="-550.8661417322827" w:hanging="360"/>
        <w:jc w:val="both"/>
        <w:rPr>
          <w:rFonts w:ascii="Calibri" w:cs="Calibri" w:eastAsia="Calibri" w:hAnsi="Calibri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283.46456692913375" w:right="-550.8661417322827" w:hanging="36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vertAlign w:val="baseline"/>
          <w:rtl w:val="0"/>
        </w:rPr>
        <w:t xml:space="preserve">ÁREA REQUISITANTE: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Coordenadoria de Material e Logística – CMLOG</w:t>
      </w:r>
    </w:p>
    <w:p w:rsidR="00000000" w:rsidDel="00000000" w:rsidP="00000000" w:rsidRDefault="00000000" w:rsidRPr="00000000" w14:paraId="00000011">
      <w:pPr>
        <w:ind w:left="283.46456692913375" w:right="-550.8661417322827" w:hanging="360"/>
        <w:jc w:val="both"/>
        <w:rPr>
          <w:rFonts w:ascii="Calibri" w:cs="Calibri" w:eastAsia="Calibri" w:hAnsi="Calibri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283.46456692913375" w:right="-550.8661417322827" w:hanging="36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vertAlign w:val="baseline"/>
          <w:rtl w:val="0"/>
        </w:rPr>
        <w:t xml:space="preserve">DESCRIÇÃO DOS REQUISITOS DA CONTRATAÇÃO: 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120" w:before="0" w:line="276" w:lineRule="auto"/>
        <w:ind w:left="283.46456692913375" w:right="-550.8661417322827" w:hanging="360"/>
        <w:jc w:val="both"/>
        <w:rPr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Trata-se de fornecimento de material comum, cujos padrões de desempenho e qualidade podem ser objetivamente definidos no edital por meio de especificações usuais no mercado.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120" w:before="0" w:line="276" w:lineRule="auto"/>
        <w:ind w:left="283.46456692913375" w:right="-550.8661417322827" w:hanging="360"/>
        <w:jc w:val="both"/>
        <w:rPr>
          <w:rFonts w:ascii="Calibri" w:cs="Calibri" w:eastAsia="Calibri" w:hAnsi="Calibri"/>
          <w:sz w:val="22"/>
          <w:szCs w:val="22"/>
          <w:u w:val="none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Esta Coordenadoria optou por realizar a presente aquisição através do Sistema de Registro de Preços - SRP, tendo em vista que pela natureza do objeto não é possível definir previamente o quantitativo a ser demandado pela Administração, conforme art. 3º, inciso V do Decreto               nº 11.462/23. Consideramos, ainda, o fato de que o referido Sistema possibilita um controle mais efetivo quanto à distribuição dos itens a serem adquiridos, traduzindo-se no estímulo ao consumo sustentável e consciente.</w:t>
      </w:r>
    </w:p>
    <w:p w:rsidR="00000000" w:rsidDel="00000000" w:rsidP="00000000" w:rsidRDefault="00000000" w:rsidRPr="00000000" w14:paraId="00000015">
      <w:pPr>
        <w:widowControl w:val="0"/>
        <w:numPr>
          <w:ilvl w:val="0"/>
          <w:numId w:val="5"/>
        </w:numPr>
        <w:tabs>
          <w:tab w:val="left" w:leader="none" w:pos="0"/>
        </w:tabs>
        <w:spacing w:line="276" w:lineRule="auto"/>
        <w:ind w:left="283.46456692913375" w:right="-550.8661417322827" w:hanging="360"/>
        <w:jc w:val="both"/>
        <w:rPr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Admite-se a adesão à ata de registro de preços decorrente desta licitação em razão nos termos da Lei 14.133/2021 e Decreto 11.462/2023, considerando ser o objeto de uso comum em diversos órgãos e a fim de otimizar recursos, evitar duplicação de esforços e garantir preços vantajosos.</w:t>
      </w:r>
    </w:p>
    <w:p w:rsidR="00000000" w:rsidDel="00000000" w:rsidP="00000000" w:rsidRDefault="00000000" w:rsidRPr="00000000" w14:paraId="00000016">
      <w:pPr>
        <w:ind w:left="283.46456692913375" w:right="-550.8661417322827" w:hanging="360"/>
        <w:jc w:val="both"/>
        <w:rPr>
          <w:rFonts w:ascii="Calibri" w:cs="Calibri" w:eastAsia="Calibri" w:hAnsi="Calibri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6"/>
        </w:numPr>
        <w:spacing w:line="276" w:lineRule="auto"/>
        <w:ind w:left="283.46456692913375" w:right="-550.8661417322827" w:hanging="36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vertAlign w:val="baseline"/>
          <w:rtl w:val="0"/>
        </w:rPr>
        <w:t xml:space="preserve">LEVANTAMENTO DE SOLUÇÕES DISPONÍVEIS NO MERCADO E JUSTIFICA</w:t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TIVA DA SOLUÇÃO ESCOLHIDA</w:t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018">
      <w:pPr>
        <w:spacing w:line="276" w:lineRule="auto"/>
        <w:ind w:left="283.46456692913375" w:right="-550.8661417322827" w:firstLine="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A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única opção viável é a aquisição</w:t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ind w:left="283.46456692913375" w:right="-550.8661417322827" w:firstLine="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 demanda atende às especificações usuais constantes no mercado e destina-se a utilização pelas Unidades Administrativas e Judiciárias da Justiça do Trabalho do Ceará.</w:t>
      </w:r>
    </w:p>
    <w:p w:rsidR="00000000" w:rsidDel="00000000" w:rsidP="00000000" w:rsidRDefault="00000000" w:rsidRPr="00000000" w14:paraId="0000001A">
      <w:pPr>
        <w:ind w:left="283.46456692913375" w:right="-550.8661417322827" w:hanging="360"/>
        <w:jc w:val="both"/>
        <w:rPr>
          <w:rFonts w:ascii="Calibri" w:cs="Calibri" w:eastAsia="Calibri" w:hAnsi="Calibri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6"/>
        </w:numPr>
        <w:ind w:left="283.46456692913375" w:right="-550.8661417322827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vertAlign w:val="baseline"/>
          <w:rtl w:val="0"/>
        </w:rPr>
        <w:t xml:space="preserve">DESCRIÇÃO DA SOLUÇÃO COMO UM TODO, CONSIDERADO TODO O CICLO DE VIDA DO OBJETO: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Aquisição de pilhas mediante Sistema de Registro de Preços – SRP.</w:t>
      </w:r>
    </w:p>
    <w:p w:rsidR="00000000" w:rsidDel="00000000" w:rsidP="00000000" w:rsidRDefault="00000000" w:rsidRPr="00000000" w14:paraId="0000001C">
      <w:pPr>
        <w:ind w:left="283.46456692913375" w:right="-550.8661417322827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left="283.46456692913375" w:right="-550.8661417322827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left="283.46456692913375" w:right="-550.8661417322827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ind w:left="283.46456692913375" w:right="-550.8661417322827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7"/>
        </w:numPr>
        <w:ind w:left="283.46456692913375" w:right="-550.8661417322827" w:hanging="36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vertAlign w:val="baseline"/>
          <w:rtl w:val="0"/>
        </w:rPr>
        <w:t xml:space="preserve">ESTIMATIVA DAS QUANTIDADES A SEREM CONTRATADAS: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left="720" w:right="-550.8661417322827" w:firstLine="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135.0" w:type="dxa"/>
        <w:jc w:val="left"/>
        <w:tblInd w:w="-92.0" w:type="dxa"/>
        <w:tblBorders>
          <w:top w:color="000001" w:space="0" w:sz="8" w:val="single"/>
          <w:left w:color="000001" w:space="0" w:sz="8" w:val="single"/>
          <w:bottom w:color="000001" w:space="0" w:sz="8" w:val="single"/>
          <w:right w:color="000001" w:space="0" w:sz="8" w:val="single"/>
          <w:insideH w:color="000001" w:space="0" w:sz="8" w:val="single"/>
          <w:insideV w:color="000001" w:space="0" w:sz="8" w:val="single"/>
        </w:tblBorders>
        <w:tblLayout w:type="fixed"/>
        <w:tblLook w:val="0000"/>
      </w:tblPr>
      <w:tblGrid>
        <w:gridCol w:w="915"/>
        <w:gridCol w:w="3375"/>
        <w:gridCol w:w="3015"/>
        <w:gridCol w:w="1830"/>
        <w:tblGridChange w:id="0">
          <w:tblGrid>
            <w:gridCol w:w="915"/>
            <w:gridCol w:w="3375"/>
            <w:gridCol w:w="3015"/>
            <w:gridCol w:w="1830"/>
          </w:tblGrid>
        </w:tblGridChange>
      </w:tblGrid>
      <w:tr>
        <w:trPr>
          <w:cantSplit w:val="1"/>
          <w:trHeight w:val="539.229207677165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b3b3b3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widowControl w:val="1"/>
              <w:tabs>
                <w:tab w:val="left" w:leader="none" w:pos="0"/>
              </w:tabs>
              <w:spacing w:after="240" w:before="240" w:line="276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ITEM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b3b3b3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1"/>
              <w:tabs>
                <w:tab w:val="left" w:leader="none" w:pos="0"/>
              </w:tabs>
              <w:spacing w:after="240" w:before="240" w:line="276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ESPECIFICAÇÃO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b3b3b3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1"/>
              <w:tabs>
                <w:tab w:val="left" w:leader="none" w:pos="0"/>
              </w:tabs>
              <w:spacing w:after="240" w:before="240" w:line="276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UNIDADE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ab/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b3b3b3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1"/>
              <w:tabs>
                <w:tab w:val="left" w:leader="none" w:pos="0"/>
              </w:tabs>
              <w:spacing w:after="240" w:before="240" w:line="276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QUANTIDADE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ab/>
            </w:r>
          </w:p>
        </w:tc>
      </w:tr>
      <w:tr>
        <w:trPr>
          <w:cantSplit w:val="1"/>
          <w:trHeight w:val="34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1"/>
              <w:tabs>
                <w:tab w:val="left" w:leader="none" w:pos="0"/>
              </w:tabs>
              <w:spacing w:before="200" w:line="276" w:lineRule="auto"/>
              <w:ind w:right="-47.12598425196845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1"/>
              <w:tabs>
                <w:tab w:val="left" w:leader="none" w:pos="0"/>
              </w:tabs>
              <w:spacing w:before="20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Pilha alcalina AA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1"/>
              <w:tabs>
                <w:tab w:val="left" w:leader="none" w:pos="0"/>
              </w:tabs>
              <w:spacing w:before="200" w:line="276" w:lineRule="auto"/>
              <w:ind w:right="-47.12598425196845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PACOTE COM 2 UNIDADES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1"/>
              <w:tabs>
                <w:tab w:val="left" w:leader="none" w:pos="0"/>
              </w:tabs>
              <w:spacing w:before="200" w:line="276" w:lineRule="auto"/>
              <w:ind w:right="-47.12598425196845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450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1"/>
              <w:tabs>
                <w:tab w:val="left" w:leader="none" w:pos="0"/>
              </w:tabs>
              <w:spacing w:before="200" w:line="276" w:lineRule="auto"/>
              <w:ind w:right="-47.12598425196845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1"/>
              <w:tabs>
                <w:tab w:val="left" w:leader="none" w:pos="0"/>
              </w:tabs>
              <w:spacing w:before="20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Pilha alcalina AAA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widowControl w:val="1"/>
              <w:tabs>
                <w:tab w:val="left" w:leader="none" w:pos="0"/>
              </w:tabs>
              <w:spacing w:before="200" w:line="276" w:lineRule="auto"/>
              <w:ind w:right="-47.12598425196845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PACOTE COM 2 UNIDADES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1"/>
              <w:tabs>
                <w:tab w:val="left" w:leader="none" w:pos="0"/>
              </w:tabs>
              <w:spacing w:before="200" w:line="276" w:lineRule="auto"/>
              <w:ind w:right="-47.12598425196845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1"/>
              <w:tabs>
                <w:tab w:val="left" w:leader="none" w:pos="0"/>
              </w:tabs>
              <w:spacing w:before="200" w:line="276" w:lineRule="auto"/>
              <w:ind w:right="-47.12598425196845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1"/>
              <w:tabs>
                <w:tab w:val="left" w:leader="none" w:pos="0"/>
              </w:tabs>
              <w:spacing w:before="200" w:lineRule="auto"/>
              <w:ind w:right="115.15748031496088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Pilha alcalina A23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1"/>
              <w:tabs>
                <w:tab w:val="left" w:leader="none" w:pos="0"/>
              </w:tabs>
              <w:spacing w:before="200" w:line="276" w:lineRule="auto"/>
              <w:ind w:right="-47.12598425196845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UN                           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1"/>
              <w:tabs>
                <w:tab w:val="left" w:leader="none" w:pos="0"/>
              </w:tabs>
              <w:spacing w:before="200" w:line="276" w:lineRule="auto"/>
              <w:ind w:right="-47.12598425196845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widowControl w:val="1"/>
              <w:tabs>
                <w:tab w:val="left" w:leader="none" w:pos="0"/>
              </w:tabs>
              <w:spacing w:before="200" w:line="276" w:lineRule="auto"/>
              <w:ind w:right="-47.12598425196845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1"/>
              <w:tabs>
                <w:tab w:val="left" w:leader="none" w:pos="0"/>
              </w:tabs>
              <w:spacing w:before="20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Pilha alcalina A27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widowControl w:val="1"/>
              <w:tabs>
                <w:tab w:val="left" w:leader="none" w:pos="0"/>
              </w:tabs>
              <w:spacing w:before="200" w:line="276" w:lineRule="auto"/>
              <w:ind w:right="-47.12598425196845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UN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widowControl w:val="1"/>
              <w:tabs>
                <w:tab w:val="left" w:leader="none" w:pos="0"/>
              </w:tabs>
              <w:spacing w:before="200" w:line="276" w:lineRule="auto"/>
              <w:ind w:right="-47.12598425196845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</w:t>
            </w:r>
          </w:p>
        </w:tc>
      </w:tr>
    </w:tbl>
    <w:p w:rsidR="00000000" w:rsidDel="00000000" w:rsidP="00000000" w:rsidRDefault="00000000" w:rsidRPr="00000000" w14:paraId="00000036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ind w:left="0" w:right="-550.8661417322827" w:firstLine="0"/>
        <w:jc w:val="both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Os quantitativos foram estimados a partir da demanda informada pelas unidades Escola Judicial, Comunicação Social e Coordenadoria de Manutenção, conforme e-mail acostados (docs. 2 e 3).</w:t>
      </w:r>
    </w:p>
    <w:p w:rsidR="00000000" w:rsidDel="00000000" w:rsidP="00000000" w:rsidRDefault="00000000" w:rsidRPr="00000000" w14:paraId="00000038">
      <w:pPr>
        <w:ind w:left="0" w:right="-550.8661417322827" w:firstLine="0"/>
        <w:jc w:val="both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ind w:left="0" w:right="-550.8661417322827" w:firstLine="0"/>
        <w:jc w:val="both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10"/>
        </w:numPr>
        <w:ind w:left="283.46456692913375" w:right="-550.8661417322827" w:hanging="36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vertAlign w:val="baseline"/>
          <w:rtl w:val="0"/>
        </w:rPr>
        <w:t xml:space="preserve">ESTIMATIVA DO VALOR DA CONTRATAÇÃO: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Conforme Anexo I. O orçamento detalhado foi elaborado conforme pesquisa de preços públicos. </w:t>
      </w:r>
    </w:p>
    <w:p w:rsidR="00000000" w:rsidDel="00000000" w:rsidP="00000000" w:rsidRDefault="00000000" w:rsidRPr="00000000" w14:paraId="0000003B">
      <w:pPr>
        <w:ind w:left="283.46456692913375" w:right="-550.8661417322827" w:hanging="360"/>
        <w:jc w:val="both"/>
        <w:rPr>
          <w:rFonts w:ascii="Calibri" w:cs="Calibri" w:eastAsia="Calibri" w:hAnsi="Calibri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0"/>
          <w:numId w:val="8"/>
        </w:numPr>
        <w:ind w:left="283.46456692913375" w:right="-550.8661417322827" w:hanging="36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vertAlign w:val="baseline"/>
          <w:rtl w:val="0"/>
        </w:rPr>
        <w:t xml:space="preserve">JUSTIFICATIVA PARA O PARCELAMENTO OU NÃO DA SOLUÇÃO:</w:t>
      </w: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 A solução foi agrupada em grupo único a fim de agregar valor e interesse na participação e fornecimento de todos os itens e o material ser fornecido pelo mesmo nicho de mercado. Não se aplica o parcelamento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em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cota de até 25% para ME e EPP, em virtude do valor.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ind w:left="720" w:right="-550.8661417322827" w:firstLine="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9"/>
        </w:numPr>
        <w:ind w:left="283.46456692913375" w:right="-550.8661417322827" w:hanging="36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vertAlign w:val="baseline"/>
          <w:rtl w:val="0"/>
        </w:rPr>
        <w:t xml:space="preserve">CONTRATAÇÕES CORRELATAS E/OU INTERDEPENDENTES:</w:t>
      </w: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Não se aplica.</w:t>
      </w:r>
    </w:p>
    <w:p w:rsidR="00000000" w:rsidDel="00000000" w:rsidP="00000000" w:rsidRDefault="00000000" w:rsidRPr="00000000" w14:paraId="0000003F">
      <w:pPr>
        <w:ind w:left="283.46456692913375" w:right="-550.8661417322827" w:hanging="360"/>
        <w:jc w:val="both"/>
        <w:rPr>
          <w:rFonts w:ascii="Calibri" w:cs="Calibri" w:eastAsia="Calibri" w:hAnsi="Calibri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283.46456692913375" w:right="-550.8661417322827" w:hanging="36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vertAlign w:val="baseline"/>
          <w:rtl w:val="0"/>
        </w:rPr>
        <w:t xml:space="preserve">ALINHAMENTO ENTRE A CONTRATAÇÃO E O PLANEJAMENTO:</w:t>
      </w: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 Esta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</w:t>
      </w: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quisição está alinhada com o disposto no Plano Estratégico 2021/2026 deste Regional, aprovado pelo Ato TRT7 nº. 64/2021, observando, especialmente, o previsto no Objetivo Estratégico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Nº 2 - Promover o trabalho decente e a sustentabilidade.</w:t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ind w:left="283.46456692913375" w:right="-550.8661417322827" w:hanging="360"/>
        <w:jc w:val="both"/>
        <w:rPr/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A presente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</w:t>
      </w: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quisição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encontra-se prevista no Plano Anual de Contratações - PAC deste Regional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–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151082025000147 – Material de consumo.</w:t>
      </w:r>
    </w:p>
    <w:p w:rsidR="00000000" w:rsidDel="00000000" w:rsidP="00000000" w:rsidRDefault="00000000" w:rsidRPr="00000000" w14:paraId="00000042">
      <w:pPr>
        <w:ind w:left="283.46456692913375" w:right="-550.8661417322827" w:hanging="360"/>
        <w:jc w:val="both"/>
        <w:rPr>
          <w:rFonts w:ascii="Calibri" w:cs="Calibri" w:eastAsia="Calibri" w:hAnsi="Calibri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0"/>
          <w:numId w:val="4"/>
        </w:numPr>
        <w:ind w:left="283.46456692913375" w:right="-550.8661417322827" w:hanging="36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vertAlign w:val="baseline"/>
          <w:rtl w:val="0"/>
        </w:rPr>
        <w:t xml:space="preserve">BENEFÍCIOS A SEREM ALCANÇADOS COM A CONTRATAÇÃO:</w:t>
      </w: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Atendimento da demanda das diversas Unidades Administrativas e Judiciárias da Justiça do Trabalho do Ceará.</w:t>
      </w:r>
    </w:p>
    <w:p w:rsidR="00000000" w:rsidDel="00000000" w:rsidP="00000000" w:rsidRDefault="00000000" w:rsidRPr="00000000" w14:paraId="00000044">
      <w:pPr>
        <w:ind w:left="283.46456692913375" w:right="-550.8661417322827" w:hanging="360"/>
        <w:jc w:val="both"/>
        <w:rPr>
          <w:rFonts w:ascii="Calibri" w:cs="Calibri" w:eastAsia="Calibri" w:hAnsi="Calibri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numPr>
          <w:ilvl w:val="0"/>
          <w:numId w:val="4"/>
        </w:numPr>
        <w:ind w:left="283.46456692913375" w:right="-550.8661417322827" w:hanging="36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vertAlign w:val="baseline"/>
          <w:rtl w:val="0"/>
        </w:rPr>
        <w:t xml:space="preserve">PROVIDÊNCIAS A SEREM ADOTADAS:</w:t>
      </w: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não se aplica</w:t>
      </w: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46">
      <w:pPr>
        <w:ind w:left="720" w:right="-550.8661417322827" w:firstLine="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0"/>
          <w:numId w:val="4"/>
        </w:numPr>
        <w:ind w:left="283.46456692913375" w:right="-550.8661417322827" w:hanging="36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POSSÍVEIS IMPACTOS AMBIENTAIS:</w:t>
      </w:r>
    </w:p>
    <w:p w:rsidR="00000000" w:rsidDel="00000000" w:rsidP="00000000" w:rsidRDefault="00000000" w:rsidRPr="00000000" w14:paraId="00000048">
      <w:pPr>
        <w:ind w:left="0" w:right="-550.8661417322827" w:firstLine="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14.1. As pilhas e baterias adquiridas deverão respeitar os teores máximos de chumbo, cádmio e mercúrio, segundo disposto na Resolução Conama nº 401/2008. </w:t>
      </w:r>
    </w:p>
    <w:p w:rsidR="00000000" w:rsidDel="00000000" w:rsidP="00000000" w:rsidRDefault="00000000" w:rsidRPr="00000000" w14:paraId="00000049">
      <w:pPr>
        <w:ind w:left="0" w:right="-550.8661417322827" w:firstLine="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14.2. A embalagem deverá conter advertências quanto aos riscos à saúde humana e ao meio ambiente; a simbologia indicativa da destinação adequada após o consumo, serem devolvidos aos revendedores ou à rede de assistência técnica autorizada e  identificação do fabricante ou deste e do importador no caso de produtos importados.</w:t>
      </w:r>
    </w:p>
    <w:p w:rsidR="00000000" w:rsidDel="00000000" w:rsidP="00000000" w:rsidRDefault="00000000" w:rsidRPr="00000000" w14:paraId="0000004A">
      <w:pPr>
        <w:ind w:left="0" w:right="-550.8661417322827" w:firstLine="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14.3. A coleta e destinação do material após o consumo dar-se-á em coletores neste próprio Regional.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ind w:left="-76.53543307086622" w:right="-550.8661417322827" w:firstLine="0"/>
        <w:jc w:val="both"/>
        <w:rPr>
          <w:rFonts w:ascii="Calibri" w:cs="Calibri" w:eastAsia="Calibri" w:hAnsi="Calibri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numPr>
          <w:ilvl w:val="0"/>
          <w:numId w:val="4"/>
        </w:numPr>
        <w:ind w:left="283.46456692913375" w:right="-550.8661417322827" w:hanging="36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vertAlign w:val="baseline"/>
          <w:rtl w:val="0"/>
        </w:rPr>
        <w:t xml:space="preserve">DECLARAÇÃO DE VIABILIDADE:</w:t>
      </w: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 Por todo o exposto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neste</w:t>
      </w: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 ETP, pelo conhecimento do mercado, pelas pesquisas realizadas, declaramos que a contratação é viável.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ind w:left="283.46456692913375" w:right="-550.8661417322827" w:hanging="360"/>
        <w:jc w:val="both"/>
        <w:rPr>
          <w:rFonts w:ascii="Calibri" w:cs="Calibri" w:eastAsia="Calibri" w:hAnsi="Calibri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E">
      <w:pPr>
        <w:ind w:left="283.46456692913375" w:right="-550.8661417322827" w:hanging="36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Fortaleza, 7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de agosto de 2025. </w:t>
      </w:r>
    </w:p>
    <w:p w:rsidR="00000000" w:rsidDel="00000000" w:rsidP="00000000" w:rsidRDefault="00000000" w:rsidRPr="00000000" w14:paraId="0000004F">
      <w:pPr>
        <w:ind w:left="283.46456692913375" w:right="-550.8661417322827" w:hanging="360"/>
        <w:jc w:val="both"/>
        <w:rPr>
          <w:rFonts w:ascii="Calibri" w:cs="Calibri" w:eastAsia="Calibri" w:hAnsi="Calibri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ind w:left="283.46456692913375" w:right="-550.8661417322827" w:hanging="360"/>
        <w:jc w:val="left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Divania Maria Alcantara soares</w:t>
      </w:r>
    </w:p>
    <w:p w:rsidR="00000000" w:rsidDel="00000000" w:rsidP="00000000" w:rsidRDefault="00000000" w:rsidRPr="00000000" w14:paraId="00000051">
      <w:pPr>
        <w:ind w:left="283.46456692913375" w:right="-550.8661417322827" w:hanging="360"/>
        <w:jc w:val="left"/>
        <w:rPr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Coordenadora Substituta de Material e Logística </w:t>
      </w:r>
      <w:r w:rsidDel="00000000" w:rsidR="00000000" w:rsidRPr="00000000">
        <w:rPr>
          <w:rtl w:val="0"/>
        </w:rPr>
      </w:r>
    </w:p>
    <w:sectPr>
      <w:pgSz w:h="16838" w:w="11906" w:orient="portrait"/>
      <w:pgMar w:bottom="836" w:top="708.6614173228347" w:left="1701" w:right="1701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Arial"/>
  <w:font w:name="Georgia"/>
  <w:font w:name="Calibri"/>
  <w:font w:name="Noto Sans Symbols">
    <w:embedRegular w:fontKey="{00000000-0000-0000-0000-000000000000}" r:id="rId1" w:subsetted="0"/>
    <w:embedBold w:fontKey="{00000000-0000-0000-0000-000000000000}" r:id="rId2" w:subsetted="0"/>
  </w:font>
  <w:font w:name="CG Times">
    <w:embedRegular w:fontKey="{00000000-0000-0000-0000-000000000000}" r:id="rId3" w:subsetted="0"/>
    <w:embedBold w:fontKey="{00000000-0000-0000-0000-000000000000}" r:id="rId4" w:subsetted="0"/>
    <w:embedItalic w:fontKey="{00000000-0000-0000-0000-000000000000}" r:id="rId5" w:subsetted="0"/>
    <w:embedBoldItalic w:fontKey="{00000000-0000-0000-0000-000000000000}" r:id="rId6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b w:val="1"/>
        <w:sz w:val="22"/>
        <w:szCs w:val="22"/>
        <w:highlight w:val="white"/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0"/>
        <w:szCs w:val="20"/>
        <w:vertAlign w:val="baseline"/>
      </w:rPr>
    </w:lvl>
    <w:lvl w:ilvl="2">
      <w:start w:val="1"/>
      <w:numFmt w:val="decimal"/>
      <w:lvlText w:val="%2.%3."/>
      <w:lvlJc w:val="left"/>
      <w:pPr>
        <w:ind w:left="1440" w:hanging="360"/>
      </w:pPr>
      <w:rPr>
        <w:sz w:val="20"/>
        <w:szCs w:val="20"/>
        <w:vertAlign w:val="baseline"/>
      </w:rPr>
    </w:lvl>
    <w:lvl w:ilvl="3">
      <w:start w:val="1"/>
      <w:numFmt w:val="decimal"/>
      <w:lvlText w:val="%2.%3.%4."/>
      <w:lvlJc w:val="left"/>
      <w:pPr>
        <w:ind w:left="1800" w:hanging="360"/>
      </w:pPr>
      <w:rPr>
        <w:sz w:val="20"/>
        <w:szCs w:val="20"/>
        <w:vertAlign w:val="baseline"/>
      </w:rPr>
    </w:lvl>
    <w:lvl w:ilvl="4">
      <w:start w:val="1"/>
      <w:numFmt w:val="decimal"/>
      <w:lvlText w:val="%2.%3.%4.%5."/>
      <w:lvlJc w:val="left"/>
      <w:pPr>
        <w:ind w:left="2160" w:hanging="360"/>
      </w:pPr>
      <w:rPr>
        <w:sz w:val="20"/>
        <w:szCs w:val="20"/>
        <w:vertAlign w:val="baseline"/>
      </w:rPr>
    </w:lvl>
    <w:lvl w:ilvl="5">
      <w:start w:val="1"/>
      <w:numFmt w:val="decimal"/>
      <w:lvlText w:val="%2.%3.%4.%5.%6."/>
      <w:lvlJc w:val="left"/>
      <w:pPr>
        <w:ind w:left="2520" w:hanging="360"/>
      </w:pPr>
      <w:rPr>
        <w:sz w:val="20"/>
        <w:szCs w:val="20"/>
        <w:vertAlign w:val="baseline"/>
      </w:rPr>
    </w:lvl>
    <w:lvl w:ilvl="6">
      <w:start w:val="1"/>
      <w:numFmt w:val="decimal"/>
      <w:lvlText w:val="%2.%3.%4.%5.%6.%7."/>
      <w:lvlJc w:val="left"/>
      <w:pPr>
        <w:ind w:left="2880" w:hanging="360"/>
      </w:pPr>
      <w:rPr>
        <w:sz w:val="20"/>
        <w:szCs w:val="20"/>
        <w:vertAlign w:val="baseline"/>
      </w:rPr>
    </w:lvl>
    <w:lvl w:ilvl="7">
      <w:start w:val="1"/>
      <w:numFmt w:val="decimal"/>
      <w:lvlText w:val="%2.%3.%4.%5.%6.%7.%8."/>
      <w:lvlJc w:val="left"/>
      <w:pPr>
        <w:ind w:left="3240" w:hanging="360"/>
      </w:pPr>
      <w:rPr>
        <w:sz w:val="20"/>
        <w:szCs w:val="20"/>
        <w:vertAlign w:val="baseline"/>
      </w:rPr>
    </w:lvl>
    <w:lvl w:ilvl="8">
      <w:start w:val="1"/>
      <w:numFmt w:val="decimal"/>
      <w:lvlText w:val="%2.%3.%4.%5.%6.%7.%8.%9."/>
      <w:lvlJc w:val="left"/>
      <w:pPr>
        <w:ind w:left="3600" w:hanging="360"/>
      </w:pPr>
      <w:rPr>
        <w:sz w:val="20"/>
        <w:szCs w:val="20"/>
        <w:vertAlign w:val="baseline"/>
      </w:rPr>
    </w:lvl>
  </w:abstractNum>
  <w:abstractNum w:abstractNumId="2">
    <w:lvl w:ilvl="0">
      <w:start w:val="11"/>
      <w:numFmt w:val="decimal"/>
      <w:lvlText w:val="%1."/>
      <w:lvlJc w:val="left"/>
      <w:pPr>
        <w:ind w:left="720" w:hanging="360"/>
      </w:pPr>
      <w:rPr>
        <w:b w:val="1"/>
        <w:sz w:val="22"/>
        <w:szCs w:val="22"/>
        <w:highlight w:val="white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0"/>
        <w:szCs w:val="20"/>
        <w:vertAlign w:val="baseline"/>
      </w:rPr>
    </w:lvl>
    <w:lvl w:ilvl="2">
      <w:start w:val="1"/>
      <w:numFmt w:val="decimal"/>
      <w:lvlText w:val="%2.%3."/>
      <w:lvlJc w:val="left"/>
      <w:pPr>
        <w:ind w:left="1440" w:hanging="360"/>
      </w:pPr>
      <w:rPr>
        <w:sz w:val="20"/>
        <w:szCs w:val="20"/>
        <w:vertAlign w:val="baseline"/>
      </w:rPr>
    </w:lvl>
    <w:lvl w:ilvl="3">
      <w:start w:val="1"/>
      <w:numFmt w:val="decimal"/>
      <w:lvlText w:val="%2.%3.%4."/>
      <w:lvlJc w:val="left"/>
      <w:pPr>
        <w:ind w:left="1800" w:hanging="360"/>
      </w:pPr>
      <w:rPr>
        <w:sz w:val="20"/>
        <w:szCs w:val="20"/>
        <w:vertAlign w:val="baseline"/>
      </w:rPr>
    </w:lvl>
    <w:lvl w:ilvl="4">
      <w:start w:val="1"/>
      <w:numFmt w:val="decimal"/>
      <w:lvlText w:val="%2.%3.%4.%5."/>
      <w:lvlJc w:val="left"/>
      <w:pPr>
        <w:ind w:left="2160" w:hanging="360"/>
      </w:pPr>
      <w:rPr>
        <w:sz w:val="20"/>
        <w:szCs w:val="20"/>
        <w:vertAlign w:val="baseline"/>
      </w:rPr>
    </w:lvl>
    <w:lvl w:ilvl="5">
      <w:start w:val="1"/>
      <w:numFmt w:val="decimal"/>
      <w:lvlText w:val="%2.%3.%4.%5.%6."/>
      <w:lvlJc w:val="left"/>
      <w:pPr>
        <w:ind w:left="2520" w:hanging="360"/>
      </w:pPr>
      <w:rPr>
        <w:sz w:val="20"/>
        <w:szCs w:val="20"/>
        <w:vertAlign w:val="baseline"/>
      </w:rPr>
    </w:lvl>
    <w:lvl w:ilvl="6">
      <w:start w:val="1"/>
      <w:numFmt w:val="decimal"/>
      <w:lvlText w:val="%2.%3.%4.%5.%6.%7."/>
      <w:lvlJc w:val="left"/>
      <w:pPr>
        <w:ind w:left="2880" w:hanging="360"/>
      </w:pPr>
      <w:rPr>
        <w:sz w:val="20"/>
        <w:szCs w:val="20"/>
        <w:vertAlign w:val="baseline"/>
      </w:rPr>
    </w:lvl>
    <w:lvl w:ilvl="7">
      <w:start w:val="1"/>
      <w:numFmt w:val="decimal"/>
      <w:lvlText w:val="%2.%3.%4.%5.%6.%7.%8."/>
      <w:lvlJc w:val="left"/>
      <w:pPr>
        <w:ind w:left="3240" w:hanging="360"/>
      </w:pPr>
      <w:rPr>
        <w:sz w:val="20"/>
        <w:szCs w:val="20"/>
        <w:vertAlign w:val="baseline"/>
      </w:rPr>
    </w:lvl>
    <w:lvl w:ilvl="8">
      <w:start w:val="1"/>
      <w:numFmt w:val="decimal"/>
      <w:lvlText w:val="%2.%3.%4.%5.%6.%7.%8.%9."/>
      <w:lvlJc w:val="left"/>
      <w:pPr>
        <w:ind w:left="3600" w:hanging="360"/>
      </w:pPr>
      <w:rPr>
        <w:sz w:val="20"/>
        <w:szCs w:val="20"/>
        <w:vertAlign w:val="baseli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  <w:vertAlign w:val="baseline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Noto Sans Symbols" w:cs="Noto Sans Symbols" w:eastAsia="Noto Sans Symbols" w:hAnsi="Noto Sans Symbols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  <w:vertAlign w:val="baseline"/>
      </w:rPr>
    </w:lvl>
    <w:lvl w:ilvl="3">
      <w:start w:val="1"/>
      <w:numFmt w:val="bullet"/>
      <w:lvlText w:val="●"/>
      <w:lvlJc w:val="left"/>
      <w:pPr>
        <w:ind w:left="1800" w:hanging="360"/>
      </w:pPr>
      <w:rPr>
        <w:rFonts w:ascii="Noto Sans Symbols" w:cs="Noto Sans Symbols" w:eastAsia="Noto Sans Symbols" w:hAnsi="Noto Sans Symbols"/>
        <w:sz w:val="20"/>
        <w:szCs w:val="20"/>
        <w:vertAlign w:val="baseline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  <w:sz w:val="20"/>
        <w:szCs w:val="20"/>
        <w:vertAlign w:val="baseline"/>
      </w:rPr>
    </w:lvl>
    <w:lvl w:ilvl="6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  <w:vertAlign w:val="baseline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Noto Sans Symbols" w:cs="Noto Sans Symbols" w:eastAsia="Noto Sans Symbols" w:hAnsi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  <w:vertAlign w:val="baseline"/>
      </w:rPr>
    </w:lvl>
  </w:abstractNum>
  <w:abstractNum w:abstractNumId="4">
    <w:lvl w:ilvl="0">
      <w:start w:val="12"/>
      <w:numFmt w:val="decimal"/>
      <w:lvlText w:val="%1."/>
      <w:lvlJc w:val="left"/>
      <w:pPr>
        <w:ind w:left="720" w:hanging="360"/>
      </w:pPr>
      <w:rPr>
        <w:b w:val="1"/>
        <w:sz w:val="22"/>
        <w:szCs w:val="22"/>
        <w:highlight w:val="white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0"/>
        <w:szCs w:val="20"/>
        <w:vertAlign w:val="baseline"/>
      </w:rPr>
    </w:lvl>
    <w:lvl w:ilvl="2">
      <w:start w:val="1"/>
      <w:numFmt w:val="decimal"/>
      <w:lvlText w:val="%2.%3."/>
      <w:lvlJc w:val="left"/>
      <w:pPr>
        <w:ind w:left="1440" w:hanging="360"/>
      </w:pPr>
      <w:rPr>
        <w:sz w:val="20"/>
        <w:szCs w:val="20"/>
        <w:vertAlign w:val="baseline"/>
      </w:rPr>
    </w:lvl>
    <w:lvl w:ilvl="3">
      <w:start w:val="1"/>
      <w:numFmt w:val="decimal"/>
      <w:lvlText w:val="%2.%3.%4."/>
      <w:lvlJc w:val="left"/>
      <w:pPr>
        <w:ind w:left="1800" w:hanging="360"/>
      </w:pPr>
      <w:rPr>
        <w:sz w:val="20"/>
        <w:szCs w:val="20"/>
        <w:vertAlign w:val="baseline"/>
      </w:rPr>
    </w:lvl>
    <w:lvl w:ilvl="4">
      <w:start w:val="1"/>
      <w:numFmt w:val="decimal"/>
      <w:lvlText w:val="%2.%3.%4.%5."/>
      <w:lvlJc w:val="left"/>
      <w:pPr>
        <w:ind w:left="2160" w:hanging="360"/>
      </w:pPr>
      <w:rPr>
        <w:sz w:val="20"/>
        <w:szCs w:val="20"/>
        <w:vertAlign w:val="baseline"/>
      </w:rPr>
    </w:lvl>
    <w:lvl w:ilvl="5">
      <w:start w:val="1"/>
      <w:numFmt w:val="decimal"/>
      <w:lvlText w:val="%2.%3.%4.%5.%6."/>
      <w:lvlJc w:val="left"/>
      <w:pPr>
        <w:ind w:left="2520" w:hanging="360"/>
      </w:pPr>
      <w:rPr>
        <w:sz w:val="20"/>
        <w:szCs w:val="20"/>
        <w:vertAlign w:val="baseline"/>
      </w:rPr>
    </w:lvl>
    <w:lvl w:ilvl="6">
      <w:start w:val="1"/>
      <w:numFmt w:val="decimal"/>
      <w:lvlText w:val="%2.%3.%4.%5.%6.%7."/>
      <w:lvlJc w:val="left"/>
      <w:pPr>
        <w:ind w:left="2880" w:hanging="360"/>
      </w:pPr>
      <w:rPr>
        <w:sz w:val="20"/>
        <w:szCs w:val="20"/>
        <w:vertAlign w:val="baseline"/>
      </w:rPr>
    </w:lvl>
    <w:lvl w:ilvl="7">
      <w:start w:val="1"/>
      <w:numFmt w:val="decimal"/>
      <w:lvlText w:val="%2.%3.%4.%5.%6.%7.%8."/>
      <w:lvlJc w:val="left"/>
      <w:pPr>
        <w:ind w:left="3240" w:hanging="360"/>
      </w:pPr>
      <w:rPr>
        <w:sz w:val="20"/>
        <w:szCs w:val="20"/>
        <w:vertAlign w:val="baseline"/>
      </w:rPr>
    </w:lvl>
    <w:lvl w:ilvl="8">
      <w:start w:val="1"/>
      <w:numFmt w:val="decimal"/>
      <w:lvlText w:val="%2.%3.%4.%5.%6.%7.%8.%9."/>
      <w:lvlJc w:val="left"/>
      <w:pPr>
        <w:ind w:left="3600" w:hanging="360"/>
      </w:pPr>
      <w:rPr>
        <w:sz w:val="20"/>
        <w:szCs w:val="20"/>
        <w:vertAlign w:val="baseli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  <w:vertAlign w:val="baseline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Noto Sans Symbols" w:cs="Noto Sans Symbols" w:eastAsia="Noto Sans Symbols" w:hAnsi="Noto Sans Symbols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  <w:vertAlign w:val="baseline"/>
      </w:rPr>
    </w:lvl>
    <w:lvl w:ilvl="3">
      <w:start w:val="1"/>
      <w:numFmt w:val="bullet"/>
      <w:lvlText w:val="●"/>
      <w:lvlJc w:val="left"/>
      <w:pPr>
        <w:ind w:left="1800" w:hanging="360"/>
      </w:pPr>
      <w:rPr>
        <w:rFonts w:ascii="Noto Sans Symbols" w:cs="Noto Sans Symbols" w:eastAsia="Noto Sans Symbols" w:hAnsi="Noto Sans Symbols"/>
        <w:sz w:val="20"/>
        <w:szCs w:val="20"/>
        <w:vertAlign w:val="baseline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  <w:sz w:val="20"/>
        <w:szCs w:val="20"/>
        <w:vertAlign w:val="baseline"/>
      </w:rPr>
    </w:lvl>
    <w:lvl w:ilvl="6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  <w:vertAlign w:val="baseline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Noto Sans Symbols" w:cs="Noto Sans Symbols" w:eastAsia="Noto Sans Symbols" w:hAnsi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  <w:vertAlign w:val="baseline"/>
      </w:rPr>
    </w:lvl>
  </w:abstractNum>
  <w:abstractNum w:abstractNumId="6">
    <w:lvl w:ilvl="0">
      <w:start w:val="5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1"/>
        <w:sz w:val="22"/>
        <w:szCs w:val="22"/>
        <w:highlight w:val="white"/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0"/>
        <w:szCs w:val="20"/>
        <w:vertAlign w:val="baseline"/>
      </w:rPr>
    </w:lvl>
    <w:lvl w:ilvl="2">
      <w:start w:val="1"/>
      <w:numFmt w:val="decimal"/>
      <w:lvlText w:val="%2.%3."/>
      <w:lvlJc w:val="left"/>
      <w:pPr>
        <w:ind w:left="1440" w:hanging="360"/>
      </w:pPr>
      <w:rPr>
        <w:sz w:val="20"/>
        <w:szCs w:val="20"/>
        <w:vertAlign w:val="baseline"/>
      </w:rPr>
    </w:lvl>
    <w:lvl w:ilvl="3">
      <w:start w:val="1"/>
      <w:numFmt w:val="decimal"/>
      <w:lvlText w:val="%2.%3.%4."/>
      <w:lvlJc w:val="left"/>
      <w:pPr>
        <w:ind w:left="1800" w:hanging="360"/>
      </w:pPr>
      <w:rPr>
        <w:sz w:val="20"/>
        <w:szCs w:val="20"/>
        <w:vertAlign w:val="baseline"/>
      </w:rPr>
    </w:lvl>
    <w:lvl w:ilvl="4">
      <w:start w:val="1"/>
      <w:numFmt w:val="decimal"/>
      <w:lvlText w:val="%2.%3.%4.%5."/>
      <w:lvlJc w:val="left"/>
      <w:pPr>
        <w:ind w:left="2160" w:hanging="360"/>
      </w:pPr>
      <w:rPr>
        <w:sz w:val="20"/>
        <w:szCs w:val="20"/>
        <w:vertAlign w:val="baseline"/>
      </w:rPr>
    </w:lvl>
    <w:lvl w:ilvl="5">
      <w:start w:val="1"/>
      <w:numFmt w:val="decimal"/>
      <w:lvlText w:val="%2.%3.%4.%5.%6."/>
      <w:lvlJc w:val="left"/>
      <w:pPr>
        <w:ind w:left="2520" w:hanging="360"/>
      </w:pPr>
      <w:rPr>
        <w:sz w:val="20"/>
        <w:szCs w:val="20"/>
        <w:vertAlign w:val="baseline"/>
      </w:rPr>
    </w:lvl>
    <w:lvl w:ilvl="6">
      <w:start w:val="1"/>
      <w:numFmt w:val="decimal"/>
      <w:lvlText w:val="%2.%3.%4.%5.%6.%7."/>
      <w:lvlJc w:val="left"/>
      <w:pPr>
        <w:ind w:left="2880" w:hanging="360"/>
      </w:pPr>
      <w:rPr>
        <w:sz w:val="20"/>
        <w:szCs w:val="20"/>
        <w:vertAlign w:val="baseline"/>
      </w:rPr>
    </w:lvl>
    <w:lvl w:ilvl="7">
      <w:start w:val="1"/>
      <w:numFmt w:val="decimal"/>
      <w:lvlText w:val="%2.%3.%4.%5.%6.%7.%8."/>
      <w:lvlJc w:val="left"/>
      <w:pPr>
        <w:ind w:left="3240" w:hanging="360"/>
      </w:pPr>
      <w:rPr>
        <w:sz w:val="20"/>
        <w:szCs w:val="20"/>
        <w:vertAlign w:val="baseline"/>
      </w:rPr>
    </w:lvl>
    <w:lvl w:ilvl="8">
      <w:start w:val="1"/>
      <w:numFmt w:val="decimal"/>
      <w:lvlText w:val="%2.%3.%4.%5.%6.%7.%8.%9."/>
      <w:lvlJc w:val="left"/>
      <w:pPr>
        <w:ind w:left="3600" w:hanging="360"/>
      </w:pPr>
      <w:rPr>
        <w:sz w:val="20"/>
        <w:szCs w:val="20"/>
        <w:vertAlign w:val="baseline"/>
      </w:rPr>
    </w:lvl>
  </w:abstractNum>
  <w:abstractNum w:abstractNumId="7">
    <w:lvl w:ilvl="0">
      <w:start w:val="7"/>
      <w:numFmt w:val="decimal"/>
      <w:lvlText w:val="%1."/>
      <w:lvlJc w:val="left"/>
      <w:pPr>
        <w:ind w:left="720" w:hanging="360"/>
      </w:pPr>
      <w:rPr>
        <w:b w:val="1"/>
        <w:sz w:val="22"/>
        <w:szCs w:val="22"/>
        <w:highlight w:val="white"/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0"/>
        <w:szCs w:val="20"/>
        <w:vertAlign w:val="baseline"/>
      </w:rPr>
    </w:lvl>
    <w:lvl w:ilvl="2">
      <w:start w:val="1"/>
      <w:numFmt w:val="decimal"/>
      <w:lvlText w:val="%2.%3."/>
      <w:lvlJc w:val="left"/>
      <w:pPr>
        <w:ind w:left="1440" w:hanging="360"/>
      </w:pPr>
      <w:rPr>
        <w:sz w:val="20"/>
        <w:szCs w:val="20"/>
        <w:vertAlign w:val="baseline"/>
      </w:rPr>
    </w:lvl>
    <w:lvl w:ilvl="3">
      <w:start w:val="1"/>
      <w:numFmt w:val="decimal"/>
      <w:lvlText w:val="%2.%3.%4."/>
      <w:lvlJc w:val="left"/>
      <w:pPr>
        <w:ind w:left="1800" w:hanging="360"/>
      </w:pPr>
      <w:rPr>
        <w:sz w:val="20"/>
        <w:szCs w:val="20"/>
        <w:vertAlign w:val="baseline"/>
      </w:rPr>
    </w:lvl>
    <w:lvl w:ilvl="4">
      <w:start w:val="1"/>
      <w:numFmt w:val="decimal"/>
      <w:lvlText w:val="%2.%3.%4.%5."/>
      <w:lvlJc w:val="left"/>
      <w:pPr>
        <w:ind w:left="2160" w:hanging="360"/>
      </w:pPr>
      <w:rPr>
        <w:sz w:val="20"/>
        <w:szCs w:val="20"/>
        <w:vertAlign w:val="baseline"/>
      </w:rPr>
    </w:lvl>
    <w:lvl w:ilvl="5">
      <w:start w:val="1"/>
      <w:numFmt w:val="decimal"/>
      <w:lvlText w:val="%2.%3.%4.%5.%6."/>
      <w:lvlJc w:val="left"/>
      <w:pPr>
        <w:ind w:left="2520" w:hanging="360"/>
      </w:pPr>
      <w:rPr>
        <w:sz w:val="20"/>
        <w:szCs w:val="20"/>
        <w:vertAlign w:val="baseline"/>
      </w:rPr>
    </w:lvl>
    <w:lvl w:ilvl="6">
      <w:start w:val="1"/>
      <w:numFmt w:val="decimal"/>
      <w:lvlText w:val="%2.%3.%4.%5.%6.%7."/>
      <w:lvlJc w:val="left"/>
      <w:pPr>
        <w:ind w:left="2880" w:hanging="360"/>
      </w:pPr>
      <w:rPr>
        <w:sz w:val="20"/>
        <w:szCs w:val="20"/>
        <w:vertAlign w:val="baseline"/>
      </w:rPr>
    </w:lvl>
    <w:lvl w:ilvl="7">
      <w:start w:val="1"/>
      <w:numFmt w:val="decimal"/>
      <w:lvlText w:val="%2.%3.%4.%5.%6.%7.%8."/>
      <w:lvlJc w:val="left"/>
      <w:pPr>
        <w:ind w:left="3240" w:hanging="360"/>
      </w:pPr>
      <w:rPr>
        <w:sz w:val="20"/>
        <w:szCs w:val="20"/>
        <w:vertAlign w:val="baseline"/>
      </w:rPr>
    </w:lvl>
    <w:lvl w:ilvl="8">
      <w:start w:val="1"/>
      <w:numFmt w:val="decimal"/>
      <w:lvlText w:val="%2.%3.%4.%5.%6.%7.%8.%9."/>
      <w:lvlJc w:val="left"/>
      <w:pPr>
        <w:ind w:left="3600" w:hanging="360"/>
      </w:pPr>
      <w:rPr>
        <w:sz w:val="20"/>
        <w:szCs w:val="20"/>
        <w:vertAlign w:val="baseline"/>
      </w:rPr>
    </w:lvl>
  </w:abstractNum>
  <w:abstractNum w:abstractNumId="8">
    <w:lvl w:ilvl="0">
      <w:start w:val="9"/>
      <w:numFmt w:val="decimal"/>
      <w:lvlText w:val="%1."/>
      <w:lvlJc w:val="left"/>
      <w:pPr>
        <w:ind w:left="720" w:hanging="360"/>
      </w:pPr>
      <w:rPr>
        <w:b w:val="1"/>
        <w:sz w:val="22"/>
        <w:szCs w:val="22"/>
        <w:highlight w:val="white"/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0"/>
        <w:szCs w:val="20"/>
        <w:vertAlign w:val="baseline"/>
      </w:rPr>
    </w:lvl>
    <w:lvl w:ilvl="2">
      <w:start w:val="1"/>
      <w:numFmt w:val="decimal"/>
      <w:lvlText w:val="%2.%3."/>
      <w:lvlJc w:val="left"/>
      <w:pPr>
        <w:ind w:left="1440" w:hanging="360"/>
      </w:pPr>
      <w:rPr>
        <w:sz w:val="20"/>
        <w:szCs w:val="20"/>
        <w:vertAlign w:val="baseline"/>
      </w:rPr>
    </w:lvl>
    <w:lvl w:ilvl="3">
      <w:start w:val="1"/>
      <w:numFmt w:val="decimal"/>
      <w:lvlText w:val="%2.%3.%4."/>
      <w:lvlJc w:val="left"/>
      <w:pPr>
        <w:ind w:left="1800" w:hanging="360"/>
      </w:pPr>
      <w:rPr>
        <w:sz w:val="20"/>
        <w:szCs w:val="20"/>
        <w:vertAlign w:val="baseline"/>
      </w:rPr>
    </w:lvl>
    <w:lvl w:ilvl="4">
      <w:start w:val="1"/>
      <w:numFmt w:val="decimal"/>
      <w:lvlText w:val="%2.%3.%4.%5."/>
      <w:lvlJc w:val="left"/>
      <w:pPr>
        <w:ind w:left="2160" w:hanging="360"/>
      </w:pPr>
      <w:rPr>
        <w:sz w:val="20"/>
        <w:szCs w:val="20"/>
        <w:vertAlign w:val="baseline"/>
      </w:rPr>
    </w:lvl>
    <w:lvl w:ilvl="5">
      <w:start w:val="1"/>
      <w:numFmt w:val="decimal"/>
      <w:lvlText w:val="%2.%3.%4.%5.%6."/>
      <w:lvlJc w:val="left"/>
      <w:pPr>
        <w:ind w:left="2520" w:hanging="360"/>
      </w:pPr>
      <w:rPr>
        <w:sz w:val="20"/>
        <w:szCs w:val="20"/>
        <w:vertAlign w:val="baseline"/>
      </w:rPr>
    </w:lvl>
    <w:lvl w:ilvl="6">
      <w:start w:val="1"/>
      <w:numFmt w:val="decimal"/>
      <w:lvlText w:val="%2.%3.%4.%5.%6.%7."/>
      <w:lvlJc w:val="left"/>
      <w:pPr>
        <w:ind w:left="2880" w:hanging="360"/>
      </w:pPr>
      <w:rPr>
        <w:sz w:val="20"/>
        <w:szCs w:val="20"/>
        <w:vertAlign w:val="baseline"/>
      </w:rPr>
    </w:lvl>
    <w:lvl w:ilvl="7">
      <w:start w:val="1"/>
      <w:numFmt w:val="decimal"/>
      <w:lvlText w:val="%2.%3.%4.%5.%6.%7.%8."/>
      <w:lvlJc w:val="left"/>
      <w:pPr>
        <w:ind w:left="3240" w:hanging="360"/>
      </w:pPr>
      <w:rPr>
        <w:sz w:val="20"/>
        <w:szCs w:val="20"/>
        <w:vertAlign w:val="baseline"/>
      </w:rPr>
    </w:lvl>
    <w:lvl w:ilvl="8">
      <w:start w:val="1"/>
      <w:numFmt w:val="decimal"/>
      <w:lvlText w:val="%2.%3.%4.%5.%6.%7.%8.%9."/>
      <w:lvlJc w:val="left"/>
      <w:pPr>
        <w:ind w:left="3600" w:hanging="360"/>
      </w:pPr>
      <w:rPr>
        <w:sz w:val="20"/>
        <w:szCs w:val="20"/>
        <w:vertAlign w:val="baseline"/>
      </w:rPr>
    </w:lvl>
  </w:abstractNum>
  <w:abstractNum w:abstractNumId="9">
    <w:lvl w:ilvl="0">
      <w:start w:val="10"/>
      <w:numFmt w:val="decimal"/>
      <w:lvlText w:val="%1."/>
      <w:lvlJc w:val="left"/>
      <w:pPr>
        <w:ind w:left="720" w:hanging="360"/>
      </w:pPr>
      <w:rPr>
        <w:b w:val="1"/>
        <w:sz w:val="22"/>
        <w:szCs w:val="22"/>
        <w:highlight w:val="white"/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0"/>
        <w:szCs w:val="20"/>
        <w:vertAlign w:val="baseline"/>
      </w:rPr>
    </w:lvl>
    <w:lvl w:ilvl="2">
      <w:start w:val="1"/>
      <w:numFmt w:val="decimal"/>
      <w:lvlText w:val="%2.%3."/>
      <w:lvlJc w:val="left"/>
      <w:pPr>
        <w:ind w:left="1440" w:hanging="360"/>
      </w:pPr>
      <w:rPr>
        <w:sz w:val="20"/>
        <w:szCs w:val="20"/>
        <w:vertAlign w:val="baseline"/>
      </w:rPr>
    </w:lvl>
    <w:lvl w:ilvl="3">
      <w:start w:val="1"/>
      <w:numFmt w:val="decimal"/>
      <w:lvlText w:val="%2.%3.%4."/>
      <w:lvlJc w:val="left"/>
      <w:pPr>
        <w:ind w:left="1800" w:hanging="360"/>
      </w:pPr>
      <w:rPr>
        <w:sz w:val="20"/>
        <w:szCs w:val="20"/>
        <w:vertAlign w:val="baseline"/>
      </w:rPr>
    </w:lvl>
    <w:lvl w:ilvl="4">
      <w:start w:val="1"/>
      <w:numFmt w:val="decimal"/>
      <w:lvlText w:val="%2.%3.%4.%5."/>
      <w:lvlJc w:val="left"/>
      <w:pPr>
        <w:ind w:left="2160" w:hanging="360"/>
      </w:pPr>
      <w:rPr>
        <w:sz w:val="20"/>
        <w:szCs w:val="20"/>
        <w:vertAlign w:val="baseline"/>
      </w:rPr>
    </w:lvl>
    <w:lvl w:ilvl="5">
      <w:start w:val="1"/>
      <w:numFmt w:val="decimal"/>
      <w:lvlText w:val="%2.%3.%4.%5.%6."/>
      <w:lvlJc w:val="left"/>
      <w:pPr>
        <w:ind w:left="2520" w:hanging="360"/>
      </w:pPr>
      <w:rPr>
        <w:sz w:val="20"/>
        <w:szCs w:val="20"/>
        <w:vertAlign w:val="baseline"/>
      </w:rPr>
    </w:lvl>
    <w:lvl w:ilvl="6">
      <w:start w:val="1"/>
      <w:numFmt w:val="decimal"/>
      <w:lvlText w:val="%2.%3.%4.%5.%6.%7."/>
      <w:lvlJc w:val="left"/>
      <w:pPr>
        <w:ind w:left="2880" w:hanging="360"/>
      </w:pPr>
      <w:rPr>
        <w:sz w:val="20"/>
        <w:szCs w:val="20"/>
        <w:vertAlign w:val="baseline"/>
      </w:rPr>
    </w:lvl>
    <w:lvl w:ilvl="7">
      <w:start w:val="1"/>
      <w:numFmt w:val="decimal"/>
      <w:lvlText w:val="%2.%3.%4.%5.%6.%7.%8."/>
      <w:lvlJc w:val="left"/>
      <w:pPr>
        <w:ind w:left="3240" w:hanging="360"/>
      </w:pPr>
      <w:rPr>
        <w:sz w:val="20"/>
        <w:szCs w:val="20"/>
        <w:vertAlign w:val="baseline"/>
      </w:rPr>
    </w:lvl>
    <w:lvl w:ilvl="8">
      <w:start w:val="1"/>
      <w:numFmt w:val="decimal"/>
      <w:lvlText w:val="%2.%3.%4.%5.%6.%7.%8.%9."/>
      <w:lvlJc w:val="left"/>
      <w:pPr>
        <w:ind w:left="3600" w:hanging="360"/>
      </w:pPr>
      <w:rPr>
        <w:sz w:val="20"/>
        <w:szCs w:val="20"/>
        <w:vertAlign w:val="baseline"/>
      </w:rPr>
    </w:lvl>
  </w:abstractNum>
  <w:abstractNum w:abstractNumId="10">
    <w:lvl w:ilvl="0">
      <w:start w:val="8"/>
      <w:numFmt w:val="decimal"/>
      <w:lvlText w:val="%1."/>
      <w:lvlJc w:val="left"/>
      <w:pPr>
        <w:ind w:left="720" w:hanging="360"/>
      </w:pPr>
      <w:rPr>
        <w:b w:val="1"/>
        <w:sz w:val="22"/>
        <w:szCs w:val="22"/>
        <w:highlight w:val="white"/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0"/>
        <w:szCs w:val="20"/>
        <w:vertAlign w:val="baseline"/>
      </w:rPr>
    </w:lvl>
    <w:lvl w:ilvl="2">
      <w:start w:val="1"/>
      <w:numFmt w:val="decimal"/>
      <w:lvlText w:val="%2.%3."/>
      <w:lvlJc w:val="left"/>
      <w:pPr>
        <w:ind w:left="1440" w:hanging="360"/>
      </w:pPr>
      <w:rPr>
        <w:sz w:val="20"/>
        <w:szCs w:val="20"/>
        <w:vertAlign w:val="baseline"/>
      </w:rPr>
    </w:lvl>
    <w:lvl w:ilvl="3">
      <w:start w:val="1"/>
      <w:numFmt w:val="decimal"/>
      <w:lvlText w:val="%2.%3.%4."/>
      <w:lvlJc w:val="left"/>
      <w:pPr>
        <w:ind w:left="1800" w:hanging="360"/>
      </w:pPr>
      <w:rPr>
        <w:sz w:val="20"/>
        <w:szCs w:val="20"/>
        <w:vertAlign w:val="baseline"/>
      </w:rPr>
    </w:lvl>
    <w:lvl w:ilvl="4">
      <w:start w:val="1"/>
      <w:numFmt w:val="decimal"/>
      <w:lvlText w:val="%2.%3.%4.%5."/>
      <w:lvlJc w:val="left"/>
      <w:pPr>
        <w:ind w:left="2160" w:hanging="360"/>
      </w:pPr>
      <w:rPr>
        <w:sz w:val="20"/>
        <w:szCs w:val="20"/>
        <w:vertAlign w:val="baseline"/>
      </w:rPr>
    </w:lvl>
    <w:lvl w:ilvl="5">
      <w:start w:val="1"/>
      <w:numFmt w:val="decimal"/>
      <w:lvlText w:val="%2.%3.%4.%5.%6."/>
      <w:lvlJc w:val="left"/>
      <w:pPr>
        <w:ind w:left="2520" w:hanging="360"/>
      </w:pPr>
      <w:rPr>
        <w:sz w:val="20"/>
        <w:szCs w:val="20"/>
        <w:vertAlign w:val="baseline"/>
      </w:rPr>
    </w:lvl>
    <w:lvl w:ilvl="6">
      <w:start w:val="1"/>
      <w:numFmt w:val="decimal"/>
      <w:lvlText w:val="%2.%3.%4.%5.%6.%7."/>
      <w:lvlJc w:val="left"/>
      <w:pPr>
        <w:ind w:left="2880" w:hanging="360"/>
      </w:pPr>
      <w:rPr>
        <w:sz w:val="20"/>
        <w:szCs w:val="20"/>
        <w:vertAlign w:val="baseline"/>
      </w:rPr>
    </w:lvl>
    <w:lvl w:ilvl="7">
      <w:start w:val="1"/>
      <w:numFmt w:val="decimal"/>
      <w:lvlText w:val="%2.%3.%4.%5.%6.%7.%8."/>
      <w:lvlJc w:val="left"/>
      <w:pPr>
        <w:ind w:left="3240" w:hanging="360"/>
      </w:pPr>
      <w:rPr>
        <w:sz w:val="20"/>
        <w:szCs w:val="20"/>
        <w:vertAlign w:val="baseline"/>
      </w:rPr>
    </w:lvl>
    <w:lvl w:ilvl="8">
      <w:start w:val="1"/>
      <w:numFmt w:val="decimal"/>
      <w:lvlText w:val="%2.%3.%4.%5.%6.%7.%8.%9."/>
      <w:lvlJc w:val="left"/>
      <w:pPr>
        <w:ind w:left="3600" w:hanging="360"/>
      </w:pPr>
      <w:rPr>
        <w:sz w:val="20"/>
        <w:szCs w:val="20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pt_BR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ffffff" w:val="clear"/>
      <w:tabs>
        <w:tab w:val="left" w:leader="none" w:pos="11160"/>
      </w:tabs>
      <w:spacing w:after="120" w:before="480" w:line="240" w:lineRule="auto"/>
      <w:ind w:left="0" w:right="49" w:firstLine="2552"/>
      <w:jc w:val="both"/>
    </w:pPr>
    <w:rPr>
      <w:rFonts w:ascii="CG Times" w:cs="CG Times" w:eastAsia="CG Times" w:hAnsi="CG Times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ffffff" w:val="clear"/>
      <w:spacing w:after="80" w:before="360" w:line="240" w:lineRule="auto"/>
      <w:ind w:left="0" w:right="0" w:firstLine="0"/>
      <w:jc w:val="center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ffffff" w:val="clear"/>
      <w:spacing w:after="80" w:before="2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ffffff" w:val="clear"/>
      <w:spacing w:after="40" w:before="240" w:line="240" w:lineRule="auto"/>
      <w:ind w:left="0" w:right="0" w:firstLine="3119"/>
      <w:jc w:val="both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ffffff" w:val="clear"/>
      <w:spacing w:after="40" w:before="220" w:line="240" w:lineRule="auto"/>
      <w:ind w:left="0" w:right="-136" w:firstLine="0"/>
      <w:jc w:val="center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ffffff" w:val="clear"/>
      <w:spacing w:after="40" w:before="2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ffffff" w:val="clear"/>
      <w:spacing w:after="12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ffffff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9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Relationship Id="rId3" Type="http://schemas.openxmlformats.org/officeDocument/2006/relationships/font" Target="fonts/CGTimes-regular.ttf"/><Relationship Id="rId4" Type="http://schemas.openxmlformats.org/officeDocument/2006/relationships/font" Target="fonts/CGTimes-bold.ttf"/><Relationship Id="rId5" Type="http://schemas.openxmlformats.org/officeDocument/2006/relationships/font" Target="fonts/CGTimes-italic.ttf"/><Relationship Id="rId6" Type="http://schemas.openxmlformats.org/officeDocument/2006/relationships/font" Target="fonts/CGTime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